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19 113 vom 22. November 2019</w:t>
      </w:r>
    </w:p>
    <w:p>
      <w:r>
        <w:t>VS Kantonsgericht, 2019-11-22, DE</w:t>
      </w:r>
    </w:p>
    <w:p>
      <w:r>
        <w:rPr>
          <w:b/>
        </w:rPr>
        <w:t xml:space="preserve">Quelle: </w:t>
      </w:r>
      <w:r>
        <w:t>https://mcp.opencaselaw.ch/entscheid/vs_gerichte_A1 19 113</w:t>
      </w:r>
    </w:p>
    <w:p>
      <w:r>
        <w:t>FR: VS_GERICHTE A1 19 113 du 22 novembre 2019</w:t>
      </w:r>
    </w:p>
    <w:p>
      <w:r>
        <w:t>IT: VS_GERICHTE A1 19 113 del 22 novembre 2019</w:t>
      </w:r>
    </w:p>
    <w:p>
      <w:pPr>
        <w:pStyle w:val="Heading2"/>
      </w:pPr>
      <w:r>
        <w:t>Erwägungen</w:t>
      </w:r>
    </w:p>
    <w:p>
      <w:r>
        <w:rPr>
          <w:b/>
        </w:rPr>
        <w:t>E. 1</w:t>
      </w:r>
    </w:p>
    <w:p>
      <w:r>
        <w:t>Gemäss Art. 42 des kantonalen Enteignungsgesetzes vom 8. Mai 2008 (kEntG; SGA/VS 710.10) kann gegen Entscheide der Schätzungskommission Beschwerde beim Kantonsgericht eingereicht werden (Abs. 1). Das Beschwerdeverfahren ist grundsätzlich durch das Gesetz über das Verwaltungsverfahren und die Verwaltungsrechtspflege vom</w:t>
      </w:r>
    </w:p>
    <w:p>
      <w:r>
        <w:rPr>
          <w:b/>
        </w:rPr>
        <w:t>E. 6</w:t>
      </w:r>
    </w:p>
    <w:p>
      <w:r>
        <w:t>Oktober 1976 (VVRG; SGS/VS 172.6) geregelt. Es weicht dahingehend davon ab, dass das Kantonsgericht volle Kognitionsbefugnis hat und über die Begehren der Par- teien zu deren Lasten oder zu deren Gunsten hinausgehen kann (Art. 42 Abs. 2 lit. a und b kEntG). Der angefochtene Entscheid der Schätzungskommission stellt eine letztin- stanzliche Verfügung im Sinne von Art. 72 VVRG dar, die mangels Ausschlusses in den Art. 74 bis Art. 77 VVRG der Verwaltungsgerichtsbeschwerde unterliegt. Die Legitima- tion des Beschwerdeführers wurde bereits in den Urteilen (Verfahren A1 13 xxx,</w:t>
      </w:r>
    </w:p>
    <w:p>
      <w:r>
        <w:t>- 7 - A1 15 236 und A1 17 95) abgehandelt und bejaht. Der Beschwerdeführer hat in seiner Funktion als Eigentümer der kantonalen Verkehrswege im Rahmen des Enteignungs- verfahrens die entsprechenden Entschädigungen zu bezahlen. Sein schutzwürdiges In- teresse an der Aufhebung oder Abänderung des angefochtenen Entscheids legitimiert ihn zur Beschwerdeführung (Art. 80 Abs. 1 lit. a VVRG i.V.m. Art. 44 Abs. 1 lit. a VVRG). Auf die im Übrigen form- und fristgerecht eingereichte Beschwerde ist folglich einzutreten (Art. 80 Abs. 1 lit. b und c i.V.m. Art. 46 und Art. 48 VVRG, Art. 42 Abs. 1 kEntG i.V.m. Art. 1 Abs. 3 VVRG). 2. Es muss nochmals dargelegt werden, dass Gegenstand des vorliegenden Verfahrens nicht die Enteignung bildet (vgl. Art. 19 ff. kEntG), sondern die Entschädigung im Schät- zungsverfahren (vgl. Art. 26 ff. EntG; Peter Hänni, Planungs-, Bau- und besonderes Um- weltschutzrecht, 6. A., 2016, S. 592), welche die Schätzungskommission am 30. April 2019 festlegte. Dementsprechend sind wiederum sämtliche Vorbringen der Beschwer- degegner, ob die Scheune mit Stall überhaupt hätte abgerissen werden müssen und die Voraussetzungen für eine vorzeitige Besitznahme erfüllt gewesen seien, nicht zu hören. 3. Das Kantonsgericht hat die von den Parteien hinterlegten Belege zu den Akten ge- nommen und die vorhandenen Unterlagen der Verfahren A1 13 290, A1 15 236 und A1 17 xxx des Kantonsgerichts beigezogen. Die Vorinstanz hat am 21. Juni 2019 einen Ordner mit einem Inhaltsverzeichnis eingereicht. Die vorhandenen Akten umfassen mit- hin die entscheidrelevanten Belege und Sachverhaltselemente und genügen, wie die nachfolgenden Erwägungen zeigen, zur Beurteilung der rechtserheblichen Fragen. Das urteilende Gericht nimmt unter Berücksichtigung der vorliegenden Umstände in antizi- pierter Beweiswürdigung an, weitere Beweismittel würden nichts an der zu beurteilenden Sach- und Rechtslage ändern, weshalb auf zusätzliche Beweisabnahmen verzichtet wird. 4. Der Beschwerdeführer kritisiert vorab die Höhe der von der Schätzungskommission festgelegten Entschädigung von Fr. 34 000.-- und erachtet die Beschränkung auf ledig- lich drei Vergleichsobjekte für die Berechnung des Basispreises als willkürlich. Das Kan- tonsgericht habe auf eine Liste von 32 Vergleichsobjekten verwiesen. Würden einzig die Objekte in der Gemeinde A _________ herangezogen, so bewege sich der Preis zwi- schen Fr. 12 000.-- und Fr. 12 766.--. 4.1 Bekanntlich kann eine Enteignung nur gegen volle Entschädigung erfolgen (vgl. Art. 26 Abs. 2 der Bundesverfassung der Schweizerischen Eidgenossenschaft vom 18. April 1999 [BV; SR 101]; Art. 6 Abs. 2 der Verfassung des Kantons Wallis vom</w:t>
      </w:r>
    </w:p>
    <w:p>
      <w:r>
        <w:t>- 8 -</w:t>
      </w:r>
    </w:p>
    <w:p>
      <w:r>
        <w:rPr>
          <w:b/>
        </w:rPr>
        <w:t>E. 8</w:t>
      </w:r>
    </w:p>
    <w:p>
      <w:r>
        <w:t>März 1907 [KV; SGS/VS 101.1] und Art. 11 EntG; BGE 127 I 185 E. 3; ZWR 2011 S. 162 E. 3.1; Urteil des Kantonsgerichts A1 14 104 vom 5. Dezember 2014 S. 5). Ge- mäss Art. 13 EntG umfasst die Entschädigung den vollen Verkehrswert des enteigneten Rechts (lit. a), den Betrag der Wertverminderung des verbleibenden Teils, wenn von einem Grundstück oder von mehreren wirtschaftlich zusammenhängenden Grundstü- cken nur ein Teil in Anspruch genommen wird (lit. b) und den Betrag aller weiteren vom Enteigneten hinzunehmenden Nachteile, die sich nach dem gewöhnlichen Lauf der Dinge als Folge der Enteignung voraussehen lassen (lit. c). Für die Berechnung des Verkehrswerts ist gemäss Art. 15 Abs. 1 EntG der Zeitpunkt der Schätzung massgebend. Der Verkehrswert hängt von objektiven Kriterien ab, die ein potentieller Käufer in Betracht gezogen hätte, insbesondere Gegebenheiten juristischer Natur wie z.B. die Bestimmungen des öffentlichen Rechts, welche die gesetzlichen Nut- zungsmöglichkeiten des Bodens festlegen, sowie Bedingungen tatsächlicher Art wie die Lage der Parzelle oder die physischen Charakteristika des Bodens (BGE 122 II 246 E. 4a; 122 II 337 E. 5a; Urteil des Bundesgerichts 1C.293/2011 vom 12. Oktober 2011 E. 4.1; Urteil des Kantonsgerichts A1 11 205 vom 3. Februar 2012 E. 4a). Auch die Mög- lichkeit und Wahrscheinlichkeit einer besseren Verwendung des Grundstücks in abseh- barer Zeit ist angemessen zu berücksichtigen (Art. 15 Abs. 2 EntG). Die durch das Werk des Enteigners entstehenden Werterhöhungen oder Wertverminderungen fallen – selbst bei einer Teilenteignung – ausser Betracht (Abs. 3). Der Verkehrswert wird in der Regel nach der statistischen Methode festgelegt, wobei hier verwiesen werden kann auf die Ausführungen des Kantonsgerichts in dieser Angelegenheit A1 17 95 vom 20. Dezem- ber 2017 E. 4.2. 4.2 Der Beschwerdeführer machte geltend, ein Vergleichsobjekt (D _________) befinde sich direkt an der Strasse und ein weiteres Objekt befinde sich sogar in der Bauzone, während sich einzig das zu schätzende Gebäude in einer Lawinen- und Hochwasser- zone befinde. Aufgrund des Standortes in einer doppelten Gefahrenzone sei vielmehr eine Reduktion der Entschädigung angezeigt, anstatt der Aufrechnung eines Mehrprei- ses (Verwaltungsgerichtsbeschwerde vom 27. Mai 2019 S. 5/7 E. 3.12). Er verweist auch auf die Darlegungen in der Verwaltungsgerichtsbeschwerde vom 22. Mai 2017 S. 5/7 E. 3.9 (Verfahren A1 17 95), wo er geltend machte, die Schätzungskommission habe in ihren Überlegungen und Berechnungen in keiner Weise die Rahmenbedingungen des Objekts in Bezug auf seinen Standort und dessen Nutzungsmöglichkeiten berücksichtigt, da sich das Gebäude in der Lawinenzone 1 und zudem in der Gefahrenzone des F _________ befunden habe. Hierzu ist Folgendes auszuführen.</w:t>
      </w:r>
    </w:p>
    <w:p>
      <w:r>
        <w:t>- 9 - 4.2.1 Das Bundesgericht hat in einem Walliser Fall 1P.421.2002 vom 7. Januar 2003 E. 2 festgehalten, dass, falls ein Gebäude in der Gefahrenzone liegt und seine Benut- zung eingeschränkt werden kann, dies seinen Verkehrswert erheblich beeinträchtigt. Das entsprechende Wohnhaus lag in der Gefahrenzone, in welcher nach dem damaligen Art. 31 Abs. 2 des kantonalen Gesetzes zur Ausführung des Bundesgesetzes über die Raumplanung vom 23. Januar 1987 (SGS/VS 701.1) keine Bauvorhaben bewilligt wer- den durften, die zu einer Gefährdung von Menschen, Tieren und erheblichen Sachwer- ten führen konnten. Das Bundesgericht hielt dann fest, dass polizeiliche Eigentumsbe- schränkungen ohne Rücksicht auf ihre Schwere grundsätzlich entschädigungslos hinzu- nehmen sind, wenn mit der fraglichen Massnahme eine konkrete, das heisst ernsthafte und unmittelbare Gefahr für die öffentliche Ordnung, Sicherheit und Gesundheit abge- wendet werden soll. Dies gelte auch, wenn es zu verhindern gilt, dass sich der Grundei- gentümer selbst (weiterhin) erheblicher Gefahr aussetzt. Diese Rechtsprechung hat das Bundesgericht verfeinert, wobei eine Entschädigungspflicht aus materieller Enteignung entfällt, wenn durch Naturgefahren bedrohtes Land mit einem Nutzungsverbot belegt wird. Sie anerkennt aber auch gewisse Ausnahmen vom Grundsatz der Entschädigungs- losigkeit rein polizeilicher Eigentumsbeschränkungen (vgl. BGE 122 II 17 E. 7b; Urteile des Bundesgerichts 2C_461/2011 vom 9. November 2011 E. 4.2 und 4.3; 1C_651/2018 vom 4. Juni 2019 E. 4.1 und 1C_412/2018 vom 31. Juli 2019 E. 4.4 je mit Hinweisen). So müsse auch berücksichtigt werden, ob die Enteignung der Realisierung eines Werks diene, welches den Schutz anderer Grundstücke und öffentlicher Infrastrukturanlagen (Strassen) bezwecke. Wo dies der Fall sei und anstelle des betroffenen Grundstücks auch ein anderes hätte enteignet werden können, sei der Wegfall der baulichen Nutz- barkeit letztlich nicht allein durch die Naturgefahr, sondern ebenso durch das Werk be- dingt. Es rechtfertige sich deshalb, die Enteignung einer solchen Parzelle zu Bauland- preisen zu entschädigen (Urteil des Bundesgerichts 1C_651/2018 vom 4. Juni 2019 E. 4.2; 2C_461/2011 vom 9. November 2011 E. 5.6 und 5.7, kritisch zu diesem Entscheid jedoch Arnold Marti, ZBl 113/2012 S. 625 ff.). Im Urteil des Bundesgerichts 1C_651/2018 vom 4. Juni 2019 ging es um eine Enteignungsentschädigung für ein in einem Felssturz- gebiet im Rahmen eines Schutzprojekts enteigneten Grundstückes. Das Bundesgericht wies darauf hin, dass die Zweistufentheorie (Prüfung einer vorgelagerten materiellen Enteignung vor der formellen Enteignung) vorliegend kaum zur Anwendung kommen könne, da die kurz vor der Enteignung ergriffenen Sofortmassnahmen (Betretungs- und Nutzungsverbot, Anordnung des Abbruchs des Gebäudes) lediglich vorbereitenden Charakter hatten (E. 2). Es wurde die Entschädigung der kantonalen Gebäudeversiche- rung für den Verlust des abgebrochenen Hauses bei der Bemessung der Enteignungs- entschädigung berücksichtigt (E. 3). Die Entschädigung des Landes erfolgte schliesslich</w:t>
      </w:r>
    </w:p>
    <w:p>
      <w:r>
        <w:t>- 10 - nur zum Wert von Landwirtschaftsland wegen der fehlenden Eignung des Grundstücks als Bauland durch die akute Steinschlag- und Felssturzgefahr (E. 3.1 ff.). 4.2.2 Vorliegend ist festzuhalten, dass die Parzelle Nr. xx1, Plan Nr. yy1, mit insgesamt 39 m2 Scheune und Stall enteignet wurde. Die Parzelle liegt in der Landwirtschaftszone sowie Lawinen- und Hochwasserzone. Die Schätzungskommission hat sich nun in An- wendung der statistischen Methode mit den Vergleichsobjekten in A _________ ausei- nandergesetzt. Sie hat aber von der vom Kantonsgericht im letzten Verfahren A1 17 95 erstellten Liste von 32 Objekten eine Vorauswahl mit 6 Objekten getroffen und schliess- lich nur drei Vergleichsobjekte (davon eines in C _________) berücksichtigt, um schliesslich den Ausgangswert von Fr. 20 000.-- zu ermitteln. Dies wird vom Beschwer- deführer zu Recht kritisiert. Es sei zu beachten, dass sich das Vergleichsobjekt in C _________ nicht im selben Tal befinde und selbst bei einer Berücksichtigung sei zu erwägen, dass es sich dabei um ein deutlich grösseres Gebäude (350 m3) handle als das vorliegend enteignete (234 m3). Das Verhältnis betrage ein Drittel und auf den Betrag von Fr. 29 000.-- angerechnet, ergebe es einen Betrag von Fr. 19 333.--. Dieser Betrag zusammen mit den beiden Gebäuden in A _________ mit Verkaufspreisen von Fr. 12 766.-- und Fr. 12 000.-- ergebe einen Durchschnitt von gerundet Fr. 14 700.--. Diese beiden Gebäude in A _________ können durchaus als Vergleichsobjekte beige- zogen werden. Sie wurden von den Schätzern wie folgt umschrieben: Parzelle Nr. xx9 (GBV Nr. xx11, D _________, Verkaufspreis Fr. 12 766.--), «allgemein vergleichbares Objekt, Nordseite schief, verfault. Dach schlechter Zustand …»: Sie befindet sich in der Landwirtschaftszone und an der Strasse. Die Parzelle Nr. xx5 (GBV Nr. xx2, G _________, Verkaufspreis Fr. 12 000.--), «allgemein vergleichbares Objekt. Unterbau schlechter Zustand. Holzaufbau teilweise schief. Dach aus Blech», befindet sich in der Landwirtschaftszone, aber auch in der Lawinengefahrenzone II. Die drei übrigen Objekte (Nrn. xx6, xx7 und xx8) der 9-er Liste befinden sich in der Bauzone und können aufgrund ihrer Zonenzugehörigkeit sowie der besseren Verwendungsmöglichkeit zum Umbau nicht als Vergleichsobjekte herangezogen werden. Der Beschwerdeführer verweist fer- ner auf den Durchschnittspreis der 9 Objekte in der Gemeinde A _________, welche im Urteil A1 17 95 S. 13 f. aufgelistet sind, was einen Betrag von Fr. 5 108.-- ergebe. Und schliesslich liege der Durchschnittspreis der 27 aufgelisteten Verkäufe bei Fr. 9 893.-- mithin weit unterhalb des vom Kanton anerkannten Betrags von Fr. 16 000.--. 4.2.3 Es ergibt sich somit, dass die Schätzungskommission zwar auf die statistische Methode verweist, aber zu wenig Objekte in A _________ einbezogen worden sind und der Ausgangswert von Fr. 20 000.-- zu hoch angesetzt worden ist. Bei allen aufgelisteten</w:t>
      </w:r>
    </w:p>
    <w:p>
      <w:r>
        <w:t>- 11 - Verkäufen in A _________ ausserhalb der Bauzone wurde kein Gebäude zum Preis von über Fr. 13 000.-- veräussert. Die Vergleichsgeschäfte erscheinen repräsentativ und lie- fern relevante Zahlen. Das Gebäude in C _________ war nahe dem Talgrund und es handelte sich um ein deutlich grösseres Gebäude, was nicht bestritten ist. Der Be- schwerdeführer hat denn auch zu Recht kritisiert, dass nicht die Grundfläche des Ge- bäudes als vielmehr der Rauminhalt bzw. die Kubikmeter von Bedeutung sind. Dieses Objekt kann nicht bei der Durchschnittsberechnung einbezogen werden und deshalb ist auch der von der Schätzungskommission bezeichnete «Zuschlag Minderwert von Objekt in C _________» im Betrage von Fr. 4 000.-- nicht gerechtfertigt. Die Schätzungskom- mission hat ausserdem nicht erwähnt, dass das enteignete Gebäude in der doppelten Gefahrenzone liegt, was den Verkehrswert entsprechend der aufgeführten Rechtspre- chung erheblich beeinträchtigt. Diesem Umstand ist bei der Verkehrswertbestimmung durch die Schätzungskommission keine Rechnung getragen worden. Das Gebäude kann denn auch nicht wiederaufgebaut werden. Der Mehrpreis für den «interessanten Standort» von Fr. 3 000.--, wie ihn die Schätzungskommission festlegte, ist daher nicht gerechtfertigt. Das Vergleichsobjekt in D _________ (Parzelle Nr. xx9, Verkaufspreis von Fr. 12 766.--) befindet sich in unmittelbarer Nähe zum enteigneten Objekt, auch an der Strasse, aber nicht in der doppelten Gefahrenzone. Die Schätzungskommission wurde im Urteil A1 17 95 vom 20. Dezember 2017 (S. 16) darauf hingewiesen, Renova- tionsarbeiten am Dach und an der Betonschutzmauer zu berücksichtigen. Wie nun dem von den Eigentümern beigebrachten Beleg (Ordner Abteil 4) entnommen werden kann, wurden Renovationsarbeiten bereits im Jahre 1992 ausgeführt, wobei Auslagen von Fr. 5 161.40 an Drittfirmen und Eigenarbeiten von Fr. 4 400.-- geltend gemacht wurden. Die Kritik des Beschwerdeführers (vgl. Verwaltungsgerichtsbeschwerde vom 27. Mai 2019, S.5/7 Ziff. 3.11), dass der «gute Allgemeinzustand» bestritten werde, ist daher auch berechtigt. Den hinterlegten Fotoaufnahmen ist tatsächlich zu entnehmen, dass das Dach bei der Inbesitznahme aufgerissen war (vgl. mit der Duplik vom 20. Ja- nuar 2018 im Dossier A1 17 95 hinterlegte Fotos). Hierfür einen Mehrpreis einzusetzen, sei nicht nachvollziehbar. Aufgrund des stark beschädigten Zustandes des gesamten Gebäudes, verursacht durch das Unwetter, wäre ein entsprechender Abzug bei der Schätzung des Gebäudes angebracht gewesen. Es trifft zu, dass die Wertverminderung des Gebäudes durch den Murgang verursacht wurde und nicht durch die Expropriation. Es war bisher nicht bekannt, wann die Investitionen getätigt wurden. Aus dem hinterleg- ten Beleg ergibt sich nun, dass die Renovationsarbeiten bereits 1992 ausgeführt wurden. Die Investitionen vor mehr als 25 Jahren stellen keinen wesentlichen Mehrwert des Ge- bäudes dar, so dass der von der Schätzungskommission festgelegte Mehrpreis von</w:t>
      </w:r>
    </w:p>
    <w:p>
      <w:r>
        <w:t>- 12 - Fr. 12 000.-- nicht gerechtfertigt ist. Schliesslich machte der Beschwerdeführer auch gel- tend, dass nicht nur eine kleine Menge an Geröllmaterial habe abtransportiert werden müssen und der eingesetzte Betrag von Fr. 1 000.-- als Abzug für den Materialabtrans- port «relativ tief» erscheine. Die Menge des abtransportierten Materials und dementspre- chend die Kosten können offensichtlich nicht mehr ermittelt werden, so dass die Kom- mission eine Schätzung vorgenommen hat. Weitere Abklärungen darüber erübrigen sich, da der vom Enteigner anerkannte Betrag offensichtlich den Verkehrswert des Ge- bäudes übersteigt. 4.3 Da der Kanton die Entschädigung von Fr. 16 000.-- anerkannt hat und eine Ände- rung aufgrund von Art. 79 Abs. 1 VVRG nicht zulässig ist, bleibt dieser Betrag als Ent- schädigung festgelegt. Es ergibt sich somit, dass die Begehren des Beschwerdeführers gutgeheissen und die Anträge der Eigentümer abgewiesen werden. 5. Aufgrund des Gesagten ist die Beschwerde im Sinne der Erwägungen gutzuheissen. Bei diesem Verfahrensausgang gelten die Beschwerdegegner als unterliegende Partei, welcher aber weder Kosten auferlegt werden noch eine Parteientschädigung zugespro- chen wird (vgl. Urteil des Kantonsgerichts A1 15 xxx vom 10. Juni 2016 E. 5). Die obsie- gende Behörde hat auch keinen Anspruch auf eine Parteientschädigung (Art. 91 Abs. 3 VVRG).</w:t>
      </w:r>
    </w:p>
    <w:p>
      <w:r>
        <w:t>- 13 -</w:t>
      </w:r>
    </w:p>
    <w:p>
      <w:r>
        <w:t>Demnach erkennt das Kantonsgericht:</w:t>
      </w:r>
    </w:p>
    <w:p>
      <w:r>
        <w:t>1. Die Beschwerde wird im Sinne der Erwägungen gutgeheissen und der Entscheid der Schätzungskommission vom 30. April 2019 wird in dem Sinne aufgehoben, dass die Entschädigung für die Parzelle Nr. xx1, Plan Nr. yy1 (AV Nr. xx10, Plan Nr. yy2), in A _________, auf Fr. 16 000.-- festgelegt wird. 2. Es werden keine Gerichtskosten erhoben. 3. Es werden keine Parteientschädigungen zugesprochen. 4. Das Urteil wird dem Beschwerdeführer, den Beschwerdegegnern, der Schätzungs- kommission und dem Büro des Expertenkollegiums schriftlich mitgeteilt.</w:t>
      </w:r>
    </w:p>
    <w:p>
      <w:r>
        <w:t>Sitten, 22.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